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sleistungen für eine Einrichtung mit mehreren Zweckbestimmungen zur Grundversorgung sowie für soziale und kulturelle Zwecke sowie von Räumen zur gemeinschaftlicher Nutz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Objektplanung mit dem Leistungsbild Gebäude/Innenräume einschließlich Freianlagenplanung soll für die Leistungsphasen 1-9 (Los1), die Fachplanung mit dem Leistungsbild Tragwerksplanung soll für die Leistungsphasen 1-6 (Los 2) und Fachplanung Technische Gebäudeausstattung soll für die Leistungsphasen 1-9 (Los3) in Anlehnung an der zurzeit gültigen HOAI erbracht werden (stufenweise Beauftragung)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